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widowControl w:val="0"/>
        <w:kinsoku/>
        <w:wordWrap/>
        <w:overflowPunct/>
        <w:topLinePunct w:val="0"/>
        <w:autoSpaceDE/>
        <w:autoSpaceDN/>
        <w:bidi w:val="0"/>
        <w:adjustRightInd/>
        <w:snapToGrid/>
        <w:spacing w:before="0" w:after="0" w:line="540" w:lineRule="exact"/>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评审办法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一、资质要求</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1.服务机构具有司法行政主管部门颁发的《律师事务所执业许可证》，在湖北省内设有总部或分支机构；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2.服务机构管理规范、执业诚信、信誉良好，参与投标机构及拟参选团队律师在五年内未出现违法违纪情形，</w:t>
      </w:r>
      <w:r>
        <w:rPr>
          <w:rFonts w:hint="eastAsia" w:ascii="仿宋_GB2312" w:hAnsi="黑体" w:eastAsia="仿宋_GB2312" w:cs="宋体"/>
          <w:sz w:val="32"/>
          <w:szCs w:val="32"/>
          <w:highlight w:val="none"/>
          <w:lang w:val="en-US" w:eastAsia="zh-CN"/>
        </w:rPr>
        <w:t>近三年未受到司法行政部门的行政处罚或律师协会的行业处分</w:t>
      </w:r>
      <w:r>
        <w:rPr>
          <w:rFonts w:hint="eastAsia" w:ascii="仿宋_GB2312" w:eastAsia="仿宋_GB2312"/>
          <w:sz w:val="32"/>
          <w:szCs w:val="32"/>
          <w:highlight w:val="none"/>
          <w:lang w:val="en-US" w:eastAsia="zh-CN"/>
        </w:rPr>
        <w:t>，亦未被相关单位纳入负面清单或黑名单，并通过年检；（提供承诺函）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trike/>
          <w:dstrike w:val="0"/>
          <w:sz w:val="32"/>
          <w:szCs w:val="32"/>
          <w:highlight w:val="none"/>
          <w:lang w:val="en-US" w:eastAsia="zh-CN"/>
        </w:rPr>
      </w:pPr>
      <w:r>
        <w:rPr>
          <w:rFonts w:hint="eastAsia" w:ascii="仿宋_GB2312" w:eastAsia="仿宋_GB2312"/>
          <w:sz w:val="32"/>
          <w:szCs w:val="32"/>
          <w:highlight w:val="none"/>
          <w:lang w:val="en-US" w:eastAsia="zh-CN"/>
        </w:rPr>
        <w:t>3.服务团队专职执业律师不少于3人，且平均执业年限不少于3年；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4.服务团队必须熟悉国资监管相关法律法规，具有国企法律实务经验或工作经历；</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5.本项目不接受联合体投标。</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二、评标方法</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本次评审采用百分制综合评分法：评审小组对符合资格要求的投标人进行量化评分，评分汇总排序后，得分从高到低的前3名投标人为候选人。得分相等时，以报价低的优先；得分相同、报价相等的，由评审小组综合考虑评审标准后商议确定排名；如果排名在前的候选人以书面形式明确表示放弃中选的，则顺位替补，不再重新组织评审。</w:t>
      </w:r>
    </w:p>
    <w:p>
      <w:pPr>
        <w:keepNext w:val="0"/>
        <w:keepLines w:val="0"/>
        <w:pageBreakBefore w:val="0"/>
        <w:widowControl w:val="0"/>
        <w:numPr>
          <w:ilvl w:val="-1"/>
          <w:numId w:val="0"/>
        </w:numPr>
        <w:kinsoku/>
        <w:wordWrap/>
        <w:overflowPunct/>
        <w:topLinePunct w:val="0"/>
        <w:autoSpaceDE/>
        <w:autoSpaceDN/>
        <w:bidi w:val="0"/>
        <w:adjustRightInd/>
        <w:spacing w:line="540" w:lineRule="exact"/>
        <w:ind w:firstLine="640" w:firstLineChars="200"/>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1.报价部分</w:t>
      </w:r>
      <w:r>
        <w:rPr>
          <w:rFonts w:hint="eastAsia" w:ascii="楷体" w:hAnsi="楷体" w:eastAsia="楷体" w:cs="楷体"/>
          <w:sz w:val="32"/>
          <w:szCs w:val="32"/>
          <w:highlight w:val="none"/>
        </w:rPr>
        <w:t>评审标准</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20分</w:t>
      </w:r>
      <w:r>
        <w:rPr>
          <w:rFonts w:hint="eastAsia" w:ascii="楷体" w:hAnsi="楷体" w:eastAsia="楷体" w:cs="楷体"/>
          <w:sz w:val="32"/>
          <w:szCs w:val="32"/>
          <w:highlight w:val="none"/>
          <w:lang w:eastAsia="zh-CN"/>
        </w:rPr>
        <w:t>）</w:t>
      </w:r>
    </w:p>
    <w:tbl>
      <w:tblPr>
        <w:tblStyle w:val="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82"/>
        <w:gridCol w:w="7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评分项目</w:t>
            </w:r>
          </w:p>
        </w:tc>
        <w:tc>
          <w:tcPr>
            <w:tcW w:w="782" w:type="dxa"/>
            <w:tcBorders>
              <w:bottom w:val="single" w:color="auto" w:sz="4" w:space="0"/>
            </w:tcBorders>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分值</w:t>
            </w:r>
          </w:p>
        </w:tc>
        <w:tc>
          <w:tcPr>
            <w:tcW w:w="7022" w:type="dxa"/>
            <w:tcBorders>
              <w:bottom w:val="single" w:color="auto" w:sz="4" w:space="0"/>
            </w:tcBorders>
            <w:vAlign w:val="center"/>
          </w:tcPr>
          <w:p>
            <w:pPr>
              <w:pStyle w:val="9"/>
              <w:spacing w:line="480" w:lineRule="atLeast"/>
              <w:jc w:val="center"/>
              <w:rPr>
                <w:rFonts w:hint="eastAsia" w:ascii="仿宋_GB2312" w:hAnsi="仿宋_GB2312" w:eastAsia="仿宋_GB2312" w:cs="仿宋_GB2312"/>
                <w:highlight w:val="none"/>
              </w:rPr>
            </w:pPr>
            <w:r>
              <w:rPr>
                <w:rFonts w:hint="default" w:ascii="仿宋_GB2312" w:hAnsi="仿宋_GB2312" w:eastAsia="仿宋_GB2312" w:cs="仿宋_GB2312"/>
                <w:highlight w:val="none"/>
                <w:lang w:val="en-US"/>
              </w:rPr>
              <w:t>评审</w:t>
            </w:r>
            <w:r>
              <w:rPr>
                <w:rFonts w:hint="eastAsia" w:ascii="仿宋_GB2312" w:hAnsi="仿宋_GB2312" w:eastAsia="仿宋_GB2312" w:cs="仿宋_GB2312"/>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服务</w:t>
            </w:r>
            <w:r>
              <w:rPr>
                <w:rFonts w:hint="eastAsia" w:ascii="仿宋_GB2312" w:hAnsi="仿宋_GB2312" w:eastAsia="仿宋_GB2312" w:cs="仿宋_GB2312"/>
                <w:highlight w:val="none"/>
                <w:lang w:val="en-US" w:eastAsia="zh-CN"/>
              </w:rPr>
              <w:t>费用</w:t>
            </w:r>
            <w:r>
              <w:rPr>
                <w:rFonts w:hint="eastAsia" w:ascii="仿宋_GB2312" w:hAnsi="仿宋_GB2312" w:eastAsia="仿宋_GB2312" w:cs="仿宋_GB2312"/>
                <w:highlight w:val="none"/>
              </w:rPr>
              <w:t>报价</w:t>
            </w:r>
          </w:p>
        </w:tc>
        <w:tc>
          <w:tcPr>
            <w:tcW w:w="782"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20分</w:t>
            </w:r>
          </w:p>
        </w:tc>
        <w:tc>
          <w:tcPr>
            <w:tcW w:w="7022" w:type="dxa"/>
            <w:vAlign w:val="center"/>
          </w:tcPr>
          <w:p>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报价金额不超过最高限价，否则直接淘汰。在最高限价范围内：</w:t>
            </w:r>
            <w:r>
              <w:rPr>
                <w:rFonts w:hint="eastAsia" w:ascii="仿宋_GB2312" w:hAnsi="仿宋_GB2312" w:eastAsia="仿宋_GB2312" w:cs="仿宋_GB2312"/>
                <w:highlight w:val="none"/>
              </w:rPr>
              <w:t>投标人报价得分=20-|（投标人报价－评标基准价）|*2</w:t>
            </w:r>
          </w:p>
          <w:p>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评标基准价=所有有效投标报价中去掉一个最高报价和一个最低报价后的算术平均值。（如果有效投标人少于5家时，则：评标基准价=所有有效投标报价的算术平均值。）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86"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合计</w:t>
            </w:r>
          </w:p>
        </w:tc>
        <w:tc>
          <w:tcPr>
            <w:tcW w:w="782"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0分</w:t>
            </w:r>
          </w:p>
        </w:tc>
        <w:tc>
          <w:tcPr>
            <w:tcW w:w="7022" w:type="dxa"/>
            <w:vAlign w:val="center"/>
          </w:tcPr>
          <w:p>
            <w:pPr>
              <w:pStyle w:val="9"/>
              <w:spacing w:line="480" w:lineRule="atLeast"/>
              <w:ind w:firstLine="480" w:firstLineChars="200"/>
              <w:jc w:val="center"/>
              <w:rPr>
                <w:rFonts w:hint="eastAsia" w:ascii="仿宋_GB2312" w:hAnsi="仿宋_GB2312" w:eastAsia="仿宋_GB2312" w:cs="仿宋_GB2312"/>
                <w:highlight w:val="none"/>
              </w:rPr>
            </w:pPr>
          </w:p>
        </w:tc>
      </w:tr>
    </w:tbl>
    <w:p>
      <w:pPr>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2.商务标部分评审标准（30分）</w:t>
      </w:r>
    </w:p>
    <w:tbl>
      <w:tblPr>
        <w:tblStyle w:val="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82"/>
        <w:gridCol w:w="7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评分项目</w:t>
            </w:r>
          </w:p>
        </w:tc>
        <w:tc>
          <w:tcPr>
            <w:tcW w:w="782" w:type="dxa"/>
            <w:tcBorders>
              <w:bottom w:val="single" w:color="auto" w:sz="4" w:space="0"/>
            </w:tcBorders>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分值</w:t>
            </w:r>
          </w:p>
        </w:tc>
        <w:tc>
          <w:tcPr>
            <w:tcW w:w="7022" w:type="dxa"/>
            <w:tcBorders>
              <w:bottom w:val="single" w:color="auto" w:sz="4" w:space="0"/>
            </w:tcBorders>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成立</w:t>
            </w:r>
            <w:r>
              <w:rPr>
                <w:rFonts w:hint="eastAsia" w:ascii="仿宋_GB2312" w:hAnsi="仿宋_GB2312" w:eastAsia="仿宋_GB2312" w:cs="仿宋_GB2312"/>
                <w:highlight w:val="none"/>
                <w:lang w:val="en-US" w:eastAsia="zh-CN"/>
              </w:rPr>
              <w:t>时间</w:t>
            </w:r>
          </w:p>
        </w:tc>
        <w:tc>
          <w:tcPr>
            <w:tcW w:w="782" w:type="dxa"/>
            <w:tcBorders>
              <w:bottom w:val="single" w:color="auto" w:sz="4" w:space="0"/>
            </w:tcBorders>
            <w:vAlign w:val="center"/>
          </w:tcPr>
          <w:p>
            <w:pPr>
              <w:pStyle w:val="9"/>
              <w:spacing w:line="480" w:lineRule="atLeast"/>
              <w:jc w:val="center"/>
              <w:rPr>
                <w:rFonts w:hint="eastAsia" w:ascii="仿宋_GB2312" w:hAnsi="仿宋_GB2312" w:eastAsia="仿宋_GB2312" w:cs="仿宋_GB2312"/>
                <w:highlight w:val="none"/>
                <w:lang w:val="en-US" w:eastAsia="zh-CN"/>
              </w:rPr>
            </w:pPr>
            <w:r>
              <w:rPr>
                <w:rFonts w:hint="default" w:ascii="仿宋_GB2312" w:hAnsi="仿宋_GB2312" w:eastAsia="仿宋_GB2312" w:cs="仿宋_GB2312"/>
                <w:highlight w:val="none"/>
                <w:lang w:val="en-US" w:eastAsia="zh-CN"/>
              </w:rPr>
              <w:t>5</w:t>
            </w:r>
            <w:r>
              <w:rPr>
                <w:rFonts w:hint="eastAsia" w:ascii="仿宋_GB2312" w:hAnsi="仿宋_GB2312" w:eastAsia="仿宋_GB2312" w:cs="仿宋_GB2312"/>
                <w:highlight w:val="none"/>
                <w:lang w:val="en-US" w:eastAsia="zh-CN"/>
              </w:rPr>
              <w:t>分</w:t>
            </w:r>
          </w:p>
        </w:tc>
        <w:tc>
          <w:tcPr>
            <w:tcW w:w="7022" w:type="dxa"/>
            <w:tcBorders>
              <w:bottom w:val="single" w:color="auto" w:sz="4" w:space="0"/>
            </w:tcBorders>
            <w:vAlign w:val="center"/>
          </w:tcPr>
          <w:p>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在湖北省内总部或分支机构的：成立时间超过10年（含）的，得5分；成立时间5（含）-10年的，得3分；成立时间低于5年的，不得分。（提供国家企业信用信息公示系统截图或律师事务所执业许可证等证明材料）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default" w:ascii="仿宋_GB2312" w:hAnsi="仿宋_GB2312" w:eastAsia="仿宋_GB2312" w:cs="仿宋_GB2312"/>
                <w:highlight w:val="none"/>
                <w:lang w:val="en-US" w:eastAsia="zh-CN"/>
              </w:rPr>
              <w:t>律师事务所</w:t>
            </w:r>
          </w:p>
          <w:p>
            <w:pPr>
              <w:pStyle w:val="9"/>
              <w:spacing w:line="480" w:lineRule="atLeast"/>
              <w:jc w:val="center"/>
              <w:rPr>
                <w:rFonts w:hint="default" w:ascii="仿宋_GB2312" w:hAnsi="仿宋_GB2312" w:eastAsia="仿宋_GB2312" w:cs="仿宋_GB2312"/>
                <w:highlight w:val="none"/>
                <w:lang w:val="en-US" w:eastAsia="zh-CN"/>
              </w:rPr>
            </w:pPr>
            <w:r>
              <w:rPr>
                <w:rFonts w:hint="default" w:ascii="仿宋_GB2312" w:hAnsi="仿宋_GB2312" w:eastAsia="仿宋_GB2312" w:cs="仿宋_GB2312"/>
                <w:highlight w:val="none"/>
                <w:lang w:val="en-US" w:eastAsia="zh-CN"/>
              </w:rPr>
              <w:t>规模</w:t>
            </w:r>
          </w:p>
        </w:tc>
        <w:tc>
          <w:tcPr>
            <w:tcW w:w="782" w:type="dxa"/>
            <w:tcBorders>
              <w:bottom w:val="single" w:color="auto" w:sz="4" w:space="0"/>
            </w:tcBorders>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5分</w:t>
            </w:r>
          </w:p>
        </w:tc>
        <w:tc>
          <w:tcPr>
            <w:tcW w:w="7022" w:type="dxa"/>
            <w:tcBorders>
              <w:bottom w:val="single" w:color="auto" w:sz="4" w:space="0"/>
            </w:tcBorders>
            <w:vAlign w:val="center"/>
          </w:tcPr>
          <w:p>
            <w:pPr>
              <w:pStyle w:val="9"/>
              <w:spacing w:line="480" w:lineRule="atLeast"/>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在湖北省内总部或分支机构的执业律师超过200人（含）的，得5分；100（含）-200人的，得4分；50（含）-100人的，得3分；50人以下的得2分。（提供司法行政主管部门统计的执业律师名单等证明材料）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类似项目经验</w:t>
            </w:r>
          </w:p>
        </w:tc>
        <w:tc>
          <w:tcPr>
            <w:tcW w:w="782" w:type="dxa"/>
            <w:tcBorders>
              <w:bottom w:val="single" w:color="auto" w:sz="4" w:space="0"/>
            </w:tcBorders>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10分</w:t>
            </w:r>
          </w:p>
        </w:tc>
        <w:tc>
          <w:tcPr>
            <w:tcW w:w="7022" w:type="dxa"/>
            <w:tcBorders>
              <w:bottom w:val="single" w:color="auto" w:sz="4" w:space="0"/>
            </w:tcBorders>
            <w:vAlign w:val="center"/>
          </w:tcPr>
          <w:p>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近3年（2021年1月1日至投标截止日）承接的湖北省内国有企</w:t>
            </w:r>
          </w:p>
          <w:p>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业常年法律顾问服务业绩，每提供一个有效合同</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分，最多得</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（投标人须提供常年法律顾问合同扫描件作为证明材料，否则不能得分）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服务承诺</w:t>
            </w:r>
          </w:p>
        </w:tc>
        <w:tc>
          <w:tcPr>
            <w:tcW w:w="782" w:type="dxa"/>
            <w:tcBorders>
              <w:bottom w:val="single" w:color="auto" w:sz="4" w:space="0"/>
            </w:tcBorders>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7分</w:t>
            </w:r>
          </w:p>
        </w:tc>
        <w:tc>
          <w:tcPr>
            <w:tcW w:w="7022" w:type="dxa"/>
            <w:tcBorders>
              <w:bottom w:val="single" w:color="auto" w:sz="4" w:space="0"/>
            </w:tcBorders>
            <w:vAlign w:val="center"/>
          </w:tcPr>
          <w:p>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w:t>
            </w:r>
            <w:r>
              <w:rPr>
                <w:rFonts w:hint="eastAsia" w:ascii="仿宋_GB2312" w:hAnsi="仿宋_GB2312" w:eastAsia="仿宋_GB2312" w:cs="仿宋_GB2312"/>
                <w:highlight w:val="none"/>
              </w:rPr>
              <w:t>投标人提出的本项目服务</w:t>
            </w:r>
            <w:r>
              <w:rPr>
                <w:rFonts w:hint="eastAsia" w:ascii="仿宋_GB2312" w:hAnsi="仿宋_GB2312" w:eastAsia="仿宋_GB2312" w:cs="仿宋_GB2312"/>
                <w:highlight w:val="none"/>
                <w:lang w:val="en-US" w:eastAsia="zh-CN"/>
              </w:rPr>
              <w:t>承诺，由评审小组</w:t>
            </w:r>
            <w:r>
              <w:rPr>
                <w:rFonts w:hint="eastAsia" w:ascii="仿宋_GB2312" w:hAnsi="仿宋_GB2312" w:eastAsia="仿宋_GB2312" w:cs="仿宋_GB2312"/>
                <w:highlight w:val="none"/>
              </w:rPr>
              <w:t>综合评价</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优秀的得6-7</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良好的得4-5分，一般的</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1-3分，未提供不得分</w:t>
            </w:r>
            <w:r>
              <w:rPr>
                <w:rFonts w:hint="eastAsia" w:ascii="仿宋_GB2312" w:hAnsi="仿宋_GB2312" w:eastAsia="仿宋_GB2312" w:cs="仿宋_GB231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pPr>
              <w:pStyle w:val="9"/>
              <w:spacing w:line="480" w:lineRule="atLeas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投标文件</w:t>
            </w:r>
          </w:p>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制作质量</w:t>
            </w:r>
          </w:p>
        </w:tc>
        <w:tc>
          <w:tcPr>
            <w:tcW w:w="782" w:type="dxa"/>
            <w:tcBorders>
              <w:bottom w:val="single" w:color="auto" w:sz="4" w:space="0"/>
            </w:tcBorders>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3分</w:t>
            </w:r>
          </w:p>
        </w:tc>
        <w:tc>
          <w:tcPr>
            <w:tcW w:w="7022" w:type="dxa"/>
            <w:tcBorders>
              <w:bottom w:val="single" w:color="auto" w:sz="4" w:space="0"/>
            </w:tcBorders>
            <w:vAlign w:val="center"/>
          </w:tcPr>
          <w:p>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投标文件内容齐全完整、装订规范，优秀的得3分，良好的得2分，一般的得1分，较差的不得分。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86"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合计</w:t>
            </w:r>
          </w:p>
        </w:tc>
        <w:tc>
          <w:tcPr>
            <w:tcW w:w="782"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0分</w:t>
            </w:r>
          </w:p>
        </w:tc>
        <w:tc>
          <w:tcPr>
            <w:tcW w:w="7022" w:type="dxa"/>
            <w:vAlign w:val="center"/>
          </w:tcPr>
          <w:p>
            <w:pPr>
              <w:pStyle w:val="9"/>
              <w:spacing w:line="480" w:lineRule="atLeast"/>
              <w:ind w:firstLine="480" w:firstLineChars="200"/>
              <w:jc w:val="center"/>
              <w:rPr>
                <w:rFonts w:hint="eastAsia" w:ascii="仿宋_GB2312" w:hAnsi="仿宋_GB2312" w:eastAsia="仿宋_GB2312" w:cs="仿宋_GB2312"/>
                <w:highlight w:val="none"/>
              </w:rPr>
            </w:pPr>
          </w:p>
        </w:tc>
      </w:tr>
    </w:tbl>
    <w:p>
      <w:pPr>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3.技术标部分评审标准（50分）</w:t>
      </w:r>
    </w:p>
    <w:tbl>
      <w:tblPr>
        <w:tblStyle w:val="6"/>
        <w:tblW w:w="9672"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781"/>
        <w:gridCol w:w="7050"/>
        <w:gridCol w:w="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评分项目</w:t>
            </w:r>
          </w:p>
        </w:tc>
        <w:tc>
          <w:tcPr>
            <w:tcW w:w="781"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分值</w:t>
            </w:r>
          </w:p>
        </w:tc>
        <w:tc>
          <w:tcPr>
            <w:tcW w:w="7050"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Align w:val="center"/>
          </w:tcPr>
          <w:p>
            <w:pPr>
              <w:pStyle w:val="9"/>
              <w:spacing w:line="480" w:lineRule="atLeas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律师事务所品牌影响力、</w:t>
            </w:r>
          </w:p>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荣誉</w:t>
            </w:r>
          </w:p>
        </w:tc>
        <w:tc>
          <w:tcPr>
            <w:tcW w:w="781"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10分</w:t>
            </w:r>
          </w:p>
        </w:tc>
        <w:tc>
          <w:tcPr>
            <w:tcW w:w="7050" w:type="dxa"/>
            <w:vAlign w:val="center"/>
          </w:tcPr>
          <w:p>
            <w:pPr>
              <w:pStyle w:val="9"/>
              <w:spacing w:line="480" w:lineRule="atLeas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获得市级荣誉或嘉奖，一次得1分；获得省级荣誉或嘉奖，一次得2分；获得全国性荣誉或嘉奖，一次得3分；此项最高得10分。</w:t>
            </w:r>
          </w:p>
          <w:p>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Merge w:val="restart"/>
            <w:vAlign w:val="center"/>
          </w:tcPr>
          <w:p>
            <w:pPr>
              <w:pStyle w:val="9"/>
              <w:spacing w:line="480" w:lineRule="atLeast"/>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团队</w:t>
            </w:r>
            <w:r>
              <w:rPr>
                <w:rFonts w:hint="eastAsia" w:ascii="仿宋_GB2312" w:hAnsi="仿宋_GB2312" w:eastAsia="仿宋_GB2312" w:cs="仿宋_GB2312"/>
                <w:highlight w:val="none"/>
                <w:lang w:val="en-US" w:eastAsia="zh-CN"/>
              </w:rPr>
              <w:t>律师资历</w:t>
            </w:r>
          </w:p>
        </w:tc>
        <w:tc>
          <w:tcPr>
            <w:tcW w:w="781" w:type="dxa"/>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5分</w:t>
            </w:r>
          </w:p>
        </w:tc>
        <w:tc>
          <w:tcPr>
            <w:tcW w:w="7050" w:type="dxa"/>
            <w:vAlign w:val="center"/>
          </w:tcPr>
          <w:p>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团队负责人1人：服务团队负责人须为合伙人且执业年限不少于20年，否则不得分。在20年（含）的基础上，每增加1年得1分，最多得5分。（</w:t>
            </w:r>
            <w:r>
              <w:rPr>
                <w:rFonts w:hint="default" w:ascii="仿宋_GB2312" w:hAnsi="仿宋_GB2312" w:eastAsia="仿宋_GB2312" w:cs="仿宋_GB2312"/>
                <w:highlight w:val="none"/>
                <w:lang w:val="en-US" w:eastAsia="zh-CN"/>
              </w:rPr>
              <w:t>提供劳动合同或社保证明</w:t>
            </w:r>
            <w:r>
              <w:rPr>
                <w:rFonts w:hint="eastAsia" w:ascii="仿宋_GB2312" w:hAnsi="仿宋_GB2312" w:eastAsia="仿宋_GB2312" w:cs="仿宋_GB2312"/>
                <w:highlight w:val="none"/>
                <w:lang w:val="en-US" w:eastAsia="zh-CN"/>
              </w:rPr>
              <w:t>或</w:t>
            </w:r>
            <w:r>
              <w:rPr>
                <w:rFonts w:hint="default" w:ascii="仿宋_GB2312" w:hAnsi="仿宋_GB2312" w:eastAsia="仿宋_GB2312" w:cs="仿宋_GB2312"/>
                <w:highlight w:val="none"/>
                <w:lang w:val="en-US" w:eastAsia="zh-CN"/>
              </w:rPr>
              <w:t>律师执业证等证明材料</w:t>
            </w:r>
            <w:r>
              <w:rPr>
                <w:rFonts w:hint="eastAsia" w:ascii="仿宋_GB2312" w:hAnsi="仿宋_GB2312" w:eastAsia="仿宋_GB2312" w:cs="仿宋_GB231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Merge w:val="continue"/>
            <w:vAlign w:val="center"/>
          </w:tcPr>
          <w:p>
            <w:pPr>
              <w:pStyle w:val="9"/>
              <w:spacing w:line="480" w:lineRule="atLeast"/>
              <w:jc w:val="both"/>
              <w:rPr>
                <w:rFonts w:hint="default" w:ascii="仿宋_GB2312" w:hAnsi="仿宋_GB2312" w:eastAsia="仿宋_GB2312" w:cs="仿宋_GB2312"/>
                <w:highlight w:val="none"/>
                <w:lang w:val="en-US" w:eastAsia="zh-CN"/>
              </w:rPr>
            </w:pPr>
          </w:p>
        </w:tc>
        <w:tc>
          <w:tcPr>
            <w:tcW w:w="781" w:type="dxa"/>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3分</w:t>
            </w:r>
          </w:p>
        </w:tc>
        <w:tc>
          <w:tcPr>
            <w:tcW w:w="7050" w:type="dxa"/>
            <w:vAlign w:val="center"/>
          </w:tcPr>
          <w:p>
            <w:pPr>
              <w:pStyle w:val="9"/>
              <w:spacing w:line="480" w:lineRule="atLeas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主办律师1人：服务团队主办律师须为合伙人且执业年限不少于</w:t>
            </w:r>
          </w:p>
          <w:p>
            <w:pPr>
              <w:pStyle w:val="9"/>
              <w:spacing w:line="480" w:lineRule="atLeast"/>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10年，否则不得分。在10年（含）的基础上，每增加1年得1分，最多得3分。（</w:t>
            </w:r>
            <w:r>
              <w:rPr>
                <w:rFonts w:hint="default" w:ascii="仿宋_GB2312" w:hAnsi="仿宋_GB2312" w:eastAsia="仿宋_GB2312" w:cs="仿宋_GB2312"/>
                <w:highlight w:val="none"/>
                <w:lang w:val="en-US" w:eastAsia="zh-CN"/>
              </w:rPr>
              <w:t>提供劳动合同或社保证明</w:t>
            </w:r>
            <w:r>
              <w:rPr>
                <w:rFonts w:hint="eastAsia" w:ascii="仿宋_GB2312" w:hAnsi="仿宋_GB2312" w:eastAsia="仿宋_GB2312" w:cs="仿宋_GB2312"/>
                <w:highlight w:val="none"/>
                <w:lang w:val="en-US" w:eastAsia="zh-CN"/>
              </w:rPr>
              <w:t>或</w:t>
            </w:r>
            <w:r>
              <w:rPr>
                <w:rFonts w:hint="default" w:ascii="仿宋_GB2312" w:hAnsi="仿宋_GB2312" w:eastAsia="仿宋_GB2312" w:cs="仿宋_GB2312"/>
                <w:highlight w:val="none"/>
                <w:lang w:val="en-US" w:eastAsia="zh-CN"/>
              </w:rPr>
              <w:t>律师执业证等证明材料</w:t>
            </w:r>
            <w:r>
              <w:rPr>
                <w:rFonts w:hint="eastAsia" w:ascii="仿宋_GB2312" w:hAnsi="仿宋_GB2312" w:eastAsia="仿宋_GB2312" w:cs="仿宋_GB2312"/>
                <w:highlight w:val="none"/>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Merge w:val="continue"/>
            <w:vAlign w:val="center"/>
          </w:tcPr>
          <w:p>
            <w:pPr>
              <w:pStyle w:val="9"/>
              <w:spacing w:line="480" w:lineRule="atLeast"/>
              <w:jc w:val="both"/>
              <w:rPr>
                <w:rFonts w:hint="default" w:ascii="仿宋_GB2312" w:hAnsi="仿宋_GB2312" w:eastAsia="仿宋_GB2312" w:cs="仿宋_GB2312"/>
                <w:highlight w:val="none"/>
                <w:lang w:val="en-US" w:eastAsia="zh-CN"/>
              </w:rPr>
            </w:pPr>
          </w:p>
        </w:tc>
        <w:tc>
          <w:tcPr>
            <w:tcW w:w="781" w:type="dxa"/>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2分</w:t>
            </w:r>
          </w:p>
        </w:tc>
        <w:tc>
          <w:tcPr>
            <w:tcW w:w="7050" w:type="dxa"/>
            <w:vAlign w:val="center"/>
          </w:tcPr>
          <w:p>
            <w:pPr>
              <w:pStyle w:val="9"/>
              <w:spacing w:line="480" w:lineRule="atLeast"/>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其他团队成员（不少于1人）：团队专职律师执业年限均需不少于5年，否则不得分。团队专职律师执业年限均超过5年（含）的，得2分。（</w:t>
            </w:r>
            <w:r>
              <w:rPr>
                <w:rFonts w:hint="default" w:ascii="仿宋_GB2312" w:hAnsi="仿宋_GB2312" w:eastAsia="仿宋_GB2312" w:cs="仿宋_GB2312"/>
                <w:highlight w:val="none"/>
                <w:lang w:val="en-US" w:eastAsia="zh-CN"/>
              </w:rPr>
              <w:t>提供劳动合同或社保证明</w:t>
            </w:r>
            <w:r>
              <w:rPr>
                <w:rFonts w:hint="eastAsia" w:ascii="仿宋_GB2312" w:hAnsi="仿宋_GB2312" w:eastAsia="仿宋_GB2312" w:cs="仿宋_GB2312"/>
                <w:highlight w:val="none"/>
                <w:lang w:val="en-US" w:eastAsia="zh-CN"/>
              </w:rPr>
              <w:t>或</w:t>
            </w:r>
            <w:r>
              <w:rPr>
                <w:rFonts w:hint="default" w:ascii="仿宋_GB2312" w:hAnsi="仿宋_GB2312" w:eastAsia="仿宋_GB2312" w:cs="仿宋_GB2312"/>
                <w:highlight w:val="none"/>
                <w:lang w:val="en-US" w:eastAsia="zh-CN"/>
              </w:rPr>
              <w:t>律师执业证等证明材料</w:t>
            </w:r>
            <w:r>
              <w:rPr>
                <w:rFonts w:hint="eastAsia" w:ascii="仿宋_GB2312" w:hAnsi="仿宋_GB2312" w:eastAsia="仿宋_GB2312" w:cs="仿宋_GB231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Align w:val="center"/>
          </w:tcPr>
          <w:p>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团队</w:t>
            </w:r>
            <w:r>
              <w:rPr>
                <w:rFonts w:hint="eastAsia" w:ascii="仿宋_GB2312" w:hAnsi="仿宋_GB2312" w:eastAsia="仿宋_GB2312" w:cs="仿宋_GB2312"/>
                <w:highlight w:val="none"/>
                <w:lang w:val="en-US" w:eastAsia="zh-CN"/>
              </w:rPr>
              <w:t>律师</w:t>
            </w:r>
          </w:p>
          <w:p>
            <w:pPr>
              <w:pStyle w:val="9"/>
              <w:spacing w:line="480" w:lineRule="atLeast"/>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知名度、服务认可度</w:t>
            </w:r>
          </w:p>
        </w:tc>
        <w:tc>
          <w:tcPr>
            <w:tcW w:w="781" w:type="dxa"/>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w:t>
            </w:r>
          </w:p>
        </w:tc>
        <w:tc>
          <w:tcPr>
            <w:tcW w:w="7050" w:type="dxa"/>
            <w:vAlign w:val="center"/>
          </w:tcPr>
          <w:p>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综合评价优秀的得8-10分，良好的得5-7分，一般的得1-4分。</w:t>
            </w:r>
          </w:p>
          <w:p>
            <w:pPr>
              <w:pStyle w:val="9"/>
              <w:spacing w:line="480" w:lineRule="atLeast"/>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注：提供担任国企内部或行业各类专业委员会委员或专家等职务（如有）、媒体宣传（如有）</w:t>
            </w:r>
            <w:r>
              <w:rPr>
                <w:rFonts w:hint="default" w:ascii="仿宋_GB2312" w:hAnsi="仿宋_GB2312" w:eastAsia="仿宋_GB2312" w:cs="仿宋_GB2312"/>
                <w:highlight w:val="none"/>
                <w:lang w:val="en-US" w:eastAsia="zh-CN"/>
              </w:rPr>
              <w:t>等</w:t>
            </w:r>
            <w:r>
              <w:rPr>
                <w:rFonts w:hint="eastAsia" w:ascii="仿宋_GB2312" w:hAnsi="仿宋_GB2312" w:eastAsia="仿宋_GB2312" w:cs="仿宋_GB2312"/>
                <w:highlight w:val="none"/>
                <w:lang w:val="en-US" w:eastAsia="zh-CN"/>
              </w:rPr>
              <w:t>佐证</w:t>
            </w:r>
            <w:r>
              <w:rPr>
                <w:rFonts w:hint="default" w:ascii="仿宋_GB2312" w:hAnsi="仿宋_GB2312" w:eastAsia="仿宋_GB2312" w:cs="仿宋_GB2312"/>
                <w:highlight w:val="none"/>
                <w:lang w:val="en-US" w:eastAsia="zh-CN"/>
              </w:rPr>
              <w:t>材料</w:t>
            </w:r>
            <w:r>
              <w:rPr>
                <w:rFonts w:hint="eastAsia" w:ascii="仿宋_GB2312" w:hAnsi="仿宋_GB2312" w:eastAsia="仿宋_GB2312" w:cs="仿宋_GB2312"/>
                <w:highlight w:val="none"/>
                <w:lang w:val="en-US" w:eastAsia="zh-CN"/>
              </w:rPr>
              <w:t>，由评审小组根据团队律师业内知名度、擅长领域等综合评分。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Align w:val="center"/>
          </w:tcPr>
          <w:p>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团队</w:t>
            </w:r>
            <w:r>
              <w:rPr>
                <w:rFonts w:hint="eastAsia" w:ascii="仿宋_GB2312" w:hAnsi="仿宋_GB2312" w:eastAsia="仿宋_GB2312" w:cs="仿宋_GB2312"/>
                <w:highlight w:val="none"/>
                <w:lang w:val="en-US" w:eastAsia="zh-CN"/>
              </w:rPr>
              <w:t>律师</w:t>
            </w:r>
          </w:p>
          <w:p>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法律实务经验</w:t>
            </w:r>
          </w:p>
        </w:tc>
        <w:tc>
          <w:tcPr>
            <w:tcW w:w="781" w:type="dxa"/>
            <w:vAlign w:val="center"/>
          </w:tcPr>
          <w:p>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20分</w:t>
            </w:r>
          </w:p>
        </w:tc>
        <w:tc>
          <w:tcPr>
            <w:tcW w:w="7050" w:type="dxa"/>
            <w:vAlign w:val="center"/>
          </w:tcPr>
          <w:p>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具有大型国企（央企）、金融机构</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非银金融机构、类金融企业</w:t>
            </w:r>
            <w:r>
              <w:rPr>
                <w:rFonts w:hint="eastAsia" w:ascii="仿宋_GB2312" w:hAnsi="仿宋_GB2312" w:eastAsia="仿宋_GB2312" w:cs="仿宋_GB2312"/>
                <w:highlight w:val="none"/>
              </w:rPr>
              <w:t>法律实务经验或业绩</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具有招商、物业等产业园区运营项目法律服务经验或业绩。</w:t>
            </w:r>
          </w:p>
          <w:p>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每提供一个有效业绩得2分，最多得20分；以上招商、物业等产业园区运营项目至少提供三个有效业绩，否则每少一个扣2分。（所有业绩证明提供合同关键页）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5" w:type="dxa"/>
            <w:vAlign w:val="center"/>
          </w:tcPr>
          <w:p>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合计</w:t>
            </w:r>
          </w:p>
        </w:tc>
        <w:tc>
          <w:tcPr>
            <w:tcW w:w="781" w:type="dxa"/>
          </w:tcPr>
          <w:p>
            <w:pPr>
              <w:pStyle w:val="9"/>
              <w:spacing w:line="480" w:lineRule="atLeast"/>
              <w:ind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50</w:t>
            </w:r>
            <w:r>
              <w:rPr>
                <w:rFonts w:hint="eastAsia" w:ascii="仿宋_GB2312" w:hAnsi="仿宋_GB2312" w:eastAsia="仿宋_GB2312" w:cs="仿宋_GB2312"/>
                <w:highlight w:val="none"/>
              </w:rPr>
              <w:t>分</w:t>
            </w:r>
          </w:p>
        </w:tc>
        <w:tc>
          <w:tcPr>
            <w:tcW w:w="7146" w:type="dxa"/>
            <w:gridSpan w:val="2"/>
            <w:vAlign w:val="center"/>
          </w:tcPr>
          <w:p>
            <w:pPr>
              <w:pStyle w:val="9"/>
              <w:spacing w:line="480" w:lineRule="atLeast"/>
              <w:ind w:firstLine="480" w:firstLineChars="200"/>
              <w:rPr>
                <w:rFonts w:hint="eastAsia" w:ascii="仿宋_GB2312" w:hAnsi="仿宋_GB2312" w:eastAsia="仿宋_GB2312" w:cs="仿宋_GB2312"/>
                <w:highlight w:val="none"/>
              </w:rPr>
            </w:pPr>
          </w:p>
        </w:tc>
      </w:tr>
    </w:tbl>
    <w:p>
      <w:pPr>
        <w:rPr>
          <w:rFonts w:hint="eastAsia"/>
          <w:highlight w:val="none"/>
          <w:lang w:val="en-US" w:eastAsia="zh-CN"/>
        </w:rPr>
      </w:pPr>
    </w:p>
    <w:p>
      <w:pPr>
        <w:rPr>
          <w:highlight w:val="none"/>
        </w:rPr>
      </w:pPr>
      <w:r>
        <w:rPr>
          <w:rFonts w:hint="eastAsia"/>
          <w:highlight w:val="none"/>
          <w:lang w:val="en-US" w:eastAsia="zh-CN"/>
        </w:rPr>
        <w:t>备注：投标人所提供的材料涉及他人商业秘密或依法需要保密的，应作出必要保密处理，但须对所提供材料的真实性负责。如提供虚假材料，一经发现，取消投标资格；已签订合同的，我公司有权无条件解除合同并追究违约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YmIwYmYwMTY3ZTRlOWYwNmJmYTllMmRhMTA5YmEifQ=="/>
    <w:docVar w:name="KSO_WPS_MARK_KEY" w:val="beafe0be-cd19-4ff5-a169-249e4cb1169c"/>
  </w:docVars>
  <w:rsids>
    <w:rsidRoot w:val="00000000"/>
    <w:rsid w:val="00881D5C"/>
    <w:rsid w:val="00BC162C"/>
    <w:rsid w:val="00F73AB7"/>
    <w:rsid w:val="01C202DC"/>
    <w:rsid w:val="01E50F3D"/>
    <w:rsid w:val="02290439"/>
    <w:rsid w:val="02CE74F9"/>
    <w:rsid w:val="030D7204"/>
    <w:rsid w:val="03833CB0"/>
    <w:rsid w:val="06B83CEE"/>
    <w:rsid w:val="089332B7"/>
    <w:rsid w:val="08A0133F"/>
    <w:rsid w:val="08A20309"/>
    <w:rsid w:val="08FF3F01"/>
    <w:rsid w:val="09EC663F"/>
    <w:rsid w:val="0AF40BC3"/>
    <w:rsid w:val="0BB91287"/>
    <w:rsid w:val="0C607954"/>
    <w:rsid w:val="0E3E1F17"/>
    <w:rsid w:val="0FC24482"/>
    <w:rsid w:val="118452D6"/>
    <w:rsid w:val="12CF13CF"/>
    <w:rsid w:val="130F49EF"/>
    <w:rsid w:val="14574E84"/>
    <w:rsid w:val="152E4A94"/>
    <w:rsid w:val="1541108C"/>
    <w:rsid w:val="16445BF1"/>
    <w:rsid w:val="165A7E7C"/>
    <w:rsid w:val="16C66A38"/>
    <w:rsid w:val="16FE3FF2"/>
    <w:rsid w:val="17465999"/>
    <w:rsid w:val="175D6688"/>
    <w:rsid w:val="1766626C"/>
    <w:rsid w:val="1A872550"/>
    <w:rsid w:val="1A9C5B95"/>
    <w:rsid w:val="1B373F76"/>
    <w:rsid w:val="1C81789E"/>
    <w:rsid w:val="1DD45AAC"/>
    <w:rsid w:val="1E3B494A"/>
    <w:rsid w:val="1E58492F"/>
    <w:rsid w:val="1E9E11F7"/>
    <w:rsid w:val="1FDD081F"/>
    <w:rsid w:val="1FF836E7"/>
    <w:rsid w:val="211A7B62"/>
    <w:rsid w:val="214C1AB0"/>
    <w:rsid w:val="22A54CC2"/>
    <w:rsid w:val="239F33F8"/>
    <w:rsid w:val="24305A06"/>
    <w:rsid w:val="24E81EE7"/>
    <w:rsid w:val="25797ADC"/>
    <w:rsid w:val="25B04A8F"/>
    <w:rsid w:val="26082058"/>
    <w:rsid w:val="263139FE"/>
    <w:rsid w:val="26345C82"/>
    <w:rsid w:val="2641214D"/>
    <w:rsid w:val="26F251F5"/>
    <w:rsid w:val="270867BE"/>
    <w:rsid w:val="27C16042"/>
    <w:rsid w:val="27C2621D"/>
    <w:rsid w:val="27EE3C0E"/>
    <w:rsid w:val="28284DAB"/>
    <w:rsid w:val="28327F9F"/>
    <w:rsid w:val="2847491C"/>
    <w:rsid w:val="29412802"/>
    <w:rsid w:val="29E0471C"/>
    <w:rsid w:val="2AA42CAA"/>
    <w:rsid w:val="2B8D7517"/>
    <w:rsid w:val="2DD6548B"/>
    <w:rsid w:val="30395C43"/>
    <w:rsid w:val="30E26576"/>
    <w:rsid w:val="30F911EE"/>
    <w:rsid w:val="31C74D29"/>
    <w:rsid w:val="31D12B73"/>
    <w:rsid w:val="32F3657D"/>
    <w:rsid w:val="333040E1"/>
    <w:rsid w:val="33751DB8"/>
    <w:rsid w:val="33BF2E16"/>
    <w:rsid w:val="34371623"/>
    <w:rsid w:val="34806C8E"/>
    <w:rsid w:val="34A264AC"/>
    <w:rsid w:val="34CF6B76"/>
    <w:rsid w:val="352E1AEE"/>
    <w:rsid w:val="356647A6"/>
    <w:rsid w:val="36032CBD"/>
    <w:rsid w:val="361A0679"/>
    <w:rsid w:val="36214C3A"/>
    <w:rsid w:val="38415FDC"/>
    <w:rsid w:val="396B18F5"/>
    <w:rsid w:val="39AB4089"/>
    <w:rsid w:val="3B5028B1"/>
    <w:rsid w:val="3C140575"/>
    <w:rsid w:val="3C29300F"/>
    <w:rsid w:val="3D184F4D"/>
    <w:rsid w:val="3DAB63D2"/>
    <w:rsid w:val="3EAD5DEF"/>
    <w:rsid w:val="3F3E69BE"/>
    <w:rsid w:val="3F9A2F6F"/>
    <w:rsid w:val="3FDB715D"/>
    <w:rsid w:val="401D2F8C"/>
    <w:rsid w:val="40FF267C"/>
    <w:rsid w:val="42F44377"/>
    <w:rsid w:val="433F136A"/>
    <w:rsid w:val="43773CB7"/>
    <w:rsid w:val="440F7783"/>
    <w:rsid w:val="44267390"/>
    <w:rsid w:val="444A6219"/>
    <w:rsid w:val="44B244EA"/>
    <w:rsid w:val="44B518E4"/>
    <w:rsid w:val="44C83930"/>
    <w:rsid w:val="4671546A"/>
    <w:rsid w:val="46D54C0B"/>
    <w:rsid w:val="46F22C8F"/>
    <w:rsid w:val="47471B23"/>
    <w:rsid w:val="48A95C04"/>
    <w:rsid w:val="4B090BDC"/>
    <w:rsid w:val="4BB903E1"/>
    <w:rsid w:val="4CB370FA"/>
    <w:rsid w:val="4CEE3464"/>
    <w:rsid w:val="4E545847"/>
    <w:rsid w:val="4E5C54C6"/>
    <w:rsid w:val="4E8801E6"/>
    <w:rsid w:val="4EDE7C89"/>
    <w:rsid w:val="4F672375"/>
    <w:rsid w:val="505E1082"/>
    <w:rsid w:val="50AA2519"/>
    <w:rsid w:val="50F6575E"/>
    <w:rsid w:val="510F54D6"/>
    <w:rsid w:val="53004AB3"/>
    <w:rsid w:val="556A5008"/>
    <w:rsid w:val="565C6063"/>
    <w:rsid w:val="56705FB3"/>
    <w:rsid w:val="56C26616"/>
    <w:rsid w:val="57880FE9"/>
    <w:rsid w:val="58E14F46"/>
    <w:rsid w:val="59BD1239"/>
    <w:rsid w:val="5B2D7FCE"/>
    <w:rsid w:val="5BDB6C3E"/>
    <w:rsid w:val="5C2D2F24"/>
    <w:rsid w:val="5C340F60"/>
    <w:rsid w:val="5C3F47D9"/>
    <w:rsid w:val="5D5360E7"/>
    <w:rsid w:val="5DD24E5D"/>
    <w:rsid w:val="5EE412EC"/>
    <w:rsid w:val="5F2D4A41"/>
    <w:rsid w:val="5F3D6176"/>
    <w:rsid w:val="5F3E38FA"/>
    <w:rsid w:val="5FC3552F"/>
    <w:rsid w:val="5FD44F37"/>
    <w:rsid w:val="61002800"/>
    <w:rsid w:val="61DC2855"/>
    <w:rsid w:val="6290252A"/>
    <w:rsid w:val="629A0DAB"/>
    <w:rsid w:val="637C1C23"/>
    <w:rsid w:val="63C705B2"/>
    <w:rsid w:val="64867506"/>
    <w:rsid w:val="66520D67"/>
    <w:rsid w:val="66815D63"/>
    <w:rsid w:val="67BB1FEE"/>
    <w:rsid w:val="69535F39"/>
    <w:rsid w:val="6AB26CD7"/>
    <w:rsid w:val="6AFE14D8"/>
    <w:rsid w:val="6B4328E0"/>
    <w:rsid w:val="6C022FD4"/>
    <w:rsid w:val="6C365C3F"/>
    <w:rsid w:val="6D03108D"/>
    <w:rsid w:val="6D6D6950"/>
    <w:rsid w:val="6DDD4E0C"/>
    <w:rsid w:val="6E4A0A40"/>
    <w:rsid w:val="6ECC76A7"/>
    <w:rsid w:val="6EDB46F5"/>
    <w:rsid w:val="6EE13152"/>
    <w:rsid w:val="6F690F1A"/>
    <w:rsid w:val="6F885CC3"/>
    <w:rsid w:val="6FAC3760"/>
    <w:rsid w:val="70683D6E"/>
    <w:rsid w:val="70F84783"/>
    <w:rsid w:val="72190E55"/>
    <w:rsid w:val="730426F8"/>
    <w:rsid w:val="74344720"/>
    <w:rsid w:val="746502B5"/>
    <w:rsid w:val="76347595"/>
    <w:rsid w:val="76EF58DD"/>
    <w:rsid w:val="78BB64F0"/>
    <w:rsid w:val="78DB58DC"/>
    <w:rsid w:val="79BE0C60"/>
    <w:rsid w:val="79CC278E"/>
    <w:rsid w:val="7B8E47E8"/>
    <w:rsid w:val="7BAA1073"/>
    <w:rsid w:val="7BC62CD4"/>
    <w:rsid w:val="7D180687"/>
    <w:rsid w:val="7E2034D3"/>
    <w:rsid w:val="7EAA2A31"/>
    <w:rsid w:val="7ED0743F"/>
    <w:rsid w:val="7EE36A03"/>
    <w:rsid w:val="7F03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新宋体" w:eastAsia="新宋体"/>
      <w:b/>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style>
  <w:style w:type="paragraph" w:customStyle="1" w:styleId="3">
    <w:name w:val="Body Text Indent"/>
    <w:basedOn w:val="1"/>
    <w:qFormat/>
    <w:uiPriority w:val="0"/>
    <w:pPr>
      <w:spacing w:after="120"/>
      <w:ind w:left="420"/>
    </w:pPr>
    <w:rPr>
      <w:sz w:val="28"/>
      <w:szCs w:val="20"/>
    </w:rPr>
  </w:style>
  <w:style w:type="paragraph" w:styleId="5">
    <w:name w:val="annotation text"/>
    <w:basedOn w:val="1"/>
    <w:qFormat/>
    <w:uiPriority w:val="0"/>
    <w:pPr>
      <w:jc w:val="left"/>
    </w:pPr>
  </w:style>
  <w:style w:type="character" w:styleId="8">
    <w:name w:val="Strong"/>
    <w:basedOn w:val="7"/>
    <w:qFormat/>
    <w:uiPriority w:val="0"/>
    <w:rPr>
      <w:b/>
    </w:rPr>
  </w:style>
  <w:style w:type="paragraph" w:styleId="9">
    <w:name w:val="No Spacing"/>
    <w:qFormat/>
    <w:uiPriority w:val="99"/>
    <w:pPr>
      <w:widowControl w:val="0"/>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1744</Words>
  <Characters>1807</Characters>
  <Lines>0</Lines>
  <Paragraphs>0</Paragraphs>
  <TotalTime>47</TotalTime>
  <ScaleCrop>false</ScaleCrop>
  <LinksUpToDate>false</LinksUpToDate>
  <CharactersWithSpaces>1807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2023-12-25T06:51:00Z</dcterms:created>
  <dc:creator>LENOVO</dc:creator>
  <cp:lastModifiedBy>高颖</cp:lastModifiedBy>
  <cp:lastPrinted>2023-12-27T03:20:00Z</cp:lastPrinted>
  <dcterms:modified xsi:type="dcterms:W3CDTF">2023-12-29T01:33:52Z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0E2BA3E0A3A6470697DDBE9D52241C2D_13</vt:lpwstr>
  </property>
</Properties>
</file>