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楷体" w:hAnsi="楷体" w:eastAsia="楷体" w:cs="楷体"/>
          <w:sz w:val="28"/>
          <w:szCs w:val="36"/>
          <w:lang w:val="en-US" w:eastAsia="zh-CN"/>
        </w:rPr>
      </w:pPr>
      <w:r>
        <w:rPr>
          <w:rFonts w:hint="eastAsia" w:ascii="楷体" w:hAnsi="楷体" w:eastAsia="楷体" w:cs="楷体"/>
          <w:sz w:val="28"/>
          <w:szCs w:val="36"/>
          <w:lang w:val="en-US" w:eastAsia="zh-CN"/>
        </w:rPr>
        <w:t>附件1：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评审办法</w:t>
      </w:r>
    </w:p>
    <w:p>
      <w:pPr>
        <w:rPr>
          <w:rFonts w:hint="eastAsia"/>
        </w:rPr>
      </w:pPr>
    </w:p>
    <w:p>
      <w:pPr>
        <w:numPr>
          <w:numId w:val="0"/>
        </w:num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sz w:val="32"/>
          <w:szCs w:val="32"/>
        </w:rPr>
        <w:t>本次评审采用百分制综合评分法：评标小组对符合资格要求的投标人进行评分，即对商务标和技术标进行量化评分，评分汇总排序后，得分从高到低的前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名投标人为中标候选人。得分数相等时，以投标报价低的优先；投标报价也相等的，由评审小组商议确定先后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numPr>
          <w:numId w:val="0"/>
        </w:numPr>
        <w:rPr>
          <w:rFonts w:hint="eastAsia"/>
          <w:lang w:eastAsia="zh-CN"/>
        </w:rPr>
      </w:pPr>
    </w:p>
    <w:p>
      <w:pPr>
        <w:numPr>
          <w:numId w:val="0"/>
        </w:numPr>
        <w:ind w:leftChars="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　　二、商务标评审标准</w:t>
      </w:r>
    </w:p>
    <w:tbl>
      <w:tblPr>
        <w:tblStyle w:val="3"/>
        <w:tblW w:w="9499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1714"/>
        <w:gridCol w:w="1631"/>
        <w:gridCol w:w="6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2" w:hRule="atLeast"/>
        </w:trPr>
        <w:tc>
          <w:tcPr>
            <w:tcW w:w="1714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评选项目</w:t>
            </w:r>
          </w:p>
        </w:tc>
        <w:tc>
          <w:tcPr>
            <w:tcW w:w="1631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分值</w:t>
            </w:r>
          </w:p>
        </w:tc>
        <w:tc>
          <w:tcPr>
            <w:tcW w:w="6154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8" w:hRule="atLeast"/>
        </w:trPr>
        <w:tc>
          <w:tcPr>
            <w:tcW w:w="1714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服务收费标准</w:t>
            </w:r>
          </w:p>
        </w:tc>
        <w:tc>
          <w:tcPr>
            <w:tcW w:w="1631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40分</w:t>
            </w:r>
          </w:p>
        </w:tc>
        <w:tc>
          <w:tcPr>
            <w:tcW w:w="6154" w:type="dxa"/>
          </w:tcPr>
          <w:p>
            <w:pPr>
              <w:numPr>
                <w:numId w:val="0"/>
              </w:numPr>
              <w:spacing w:line="360" w:lineRule="auto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投标人报价得分=40- | (投标人报价－有效报价的平均价) |*2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768" w:hRule="atLeast"/>
        </w:trPr>
        <w:tc>
          <w:tcPr>
            <w:tcW w:w="1714" w:type="dxa"/>
          </w:tcPr>
          <w:p>
            <w:pPr>
              <w:numPr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类似业绩</w:t>
            </w:r>
          </w:p>
        </w:tc>
        <w:tc>
          <w:tcPr>
            <w:tcW w:w="1631" w:type="dxa"/>
          </w:tcPr>
          <w:p>
            <w:pPr>
              <w:numPr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6154" w:type="dxa"/>
          </w:tcPr>
          <w:p>
            <w:pPr>
              <w:numPr>
                <w:numId w:val="0"/>
              </w:numP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企业业绩:2020年至今承接的湖北省内国有企业法律服务业绩，每个合同得1分。</w:t>
            </w:r>
          </w:p>
          <w:p>
            <w:pPr>
              <w:numPr>
                <w:numId w:val="0"/>
              </w:numP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注：投标人须提供相关合同扫描件作为证明材料，否则不能得分。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47" w:hRule="atLeast"/>
        </w:trPr>
        <w:tc>
          <w:tcPr>
            <w:tcW w:w="1714" w:type="dxa"/>
          </w:tcPr>
          <w:p>
            <w:pPr>
              <w:numPr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服务承诺</w:t>
            </w:r>
          </w:p>
        </w:tc>
        <w:tc>
          <w:tcPr>
            <w:tcW w:w="1631" w:type="dxa"/>
          </w:tcPr>
          <w:p>
            <w:pPr>
              <w:numPr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6154" w:type="dxa"/>
          </w:tcPr>
          <w:p>
            <w:pPr>
              <w:numPr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根据承诺情况评审0—10 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57" w:hRule="atLeast"/>
        </w:trPr>
        <w:tc>
          <w:tcPr>
            <w:tcW w:w="1714" w:type="dxa"/>
          </w:tcPr>
          <w:p>
            <w:pPr>
              <w:numPr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合计</w:t>
            </w:r>
          </w:p>
        </w:tc>
        <w:tc>
          <w:tcPr>
            <w:tcW w:w="1631" w:type="dxa"/>
          </w:tcPr>
          <w:p>
            <w:pPr>
              <w:numPr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  <w:t>60分</w:t>
            </w:r>
          </w:p>
        </w:tc>
        <w:tc>
          <w:tcPr>
            <w:tcW w:w="6154" w:type="dxa"/>
          </w:tcPr>
          <w:p>
            <w:pPr>
              <w:numPr>
                <w:numId w:val="0"/>
              </w:numPr>
              <w:spacing w:line="480" w:lineRule="auto"/>
              <w:jc w:val="center"/>
              <w:rPr>
                <w:rFonts w:hint="eastAsia" w:ascii="楷体" w:hAnsi="楷体" w:eastAsia="楷体" w:cs="楷体"/>
                <w:sz w:val="22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三、技术标评审标准</w:t>
      </w:r>
    </w:p>
    <w:tbl>
      <w:tblPr>
        <w:tblStyle w:val="3"/>
        <w:tblW w:w="9480" w:type="dxa"/>
        <w:tblInd w:w="-51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070"/>
        <w:gridCol w:w="3720"/>
        <w:gridCol w:w="915"/>
        <w:gridCol w:w="2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464" w:hRule="atLeast"/>
        </w:trPr>
        <w:tc>
          <w:tcPr>
            <w:tcW w:w="5790" w:type="dxa"/>
            <w:gridSpan w:val="2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评分项目</w:t>
            </w:r>
          </w:p>
        </w:tc>
        <w:tc>
          <w:tcPr>
            <w:tcW w:w="915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分值</w:t>
            </w:r>
          </w:p>
        </w:tc>
        <w:tc>
          <w:tcPr>
            <w:tcW w:w="2775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9" w:hRule="atLeast"/>
        </w:trPr>
        <w:tc>
          <w:tcPr>
            <w:tcW w:w="2070" w:type="dxa"/>
          </w:tcPr>
          <w:p>
            <w:pPr>
              <w:numPr>
                <w:numId w:val="0"/>
              </w:num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律师事务所团队实力及规模</w:t>
            </w:r>
          </w:p>
        </w:tc>
        <w:tc>
          <w:tcPr>
            <w:tcW w:w="3720" w:type="dxa"/>
          </w:tcPr>
          <w:p>
            <w:pPr>
              <w:numPr>
                <w:numId w:val="0"/>
              </w:num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律师事务所在湖北分支机构开设情况、所含专业律师的数量</w:t>
            </w:r>
          </w:p>
        </w:tc>
        <w:tc>
          <w:tcPr>
            <w:tcW w:w="915" w:type="dxa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20分</w:t>
            </w:r>
          </w:p>
        </w:tc>
        <w:tc>
          <w:tcPr>
            <w:tcW w:w="2775" w:type="dxa"/>
          </w:tcPr>
          <w:p>
            <w:pPr>
              <w:numPr>
                <w:numId w:val="0"/>
              </w:num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好：20 分≥得分＞14 分；</w:t>
            </w:r>
          </w:p>
          <w:p>
            <w:pPr>
              <w:numPr>
                <w:numId w:val="0"/>
              </w:num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中：13 分≥得分＞7 分；</w:t>
            </w:r>
          </w:p>
          <w:p>
            <w:pPr>
              <w:numPr>
                <w:numId w:val="0"/>
              </w:num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差：6 分≥得分≥0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09" w:hRule="atLeast"/>
        </w:trPr>
        <w:tc>
          <w:tcPr>
            <w:tcW w:w="2070" w:type="dxa"/>
          </w:tcPr>
          <w:p>
            <w:pPr>
              <w:numPr>
                <w:numId w:val="0"/>
              </w:num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拟派法律顾问的相关业务法律实务经验</w:t>
            </w:r>
          </w:p>
        </w:tc>
        <w:tc>
          <w:tcPr>
            <w:tcW w:w="3720" w:type="dxa"/>
          </w:tcPr>
          <w:p>
            <w:pPr>
              <w:numPr>
                <w:numId w:val="0"/>
              </w:num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具有大型国企(央企)、金融机构、非银金融机构、类金融企业法律实务经验或业绩</w:t>
            </w:r>
          </w:p>
        </w:tc>
        <w:tc>
          <w:tcPr>
            <w:tcW w:w="915" w:type="dxa"/>
          </w:tcPr>
          <w:p>
            <w:pPr>
              <w:numPr>
                <w:numId w:val="0"/>
              </w:numPr>
              <w:spacing w:line="240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20分</w:t>
            </w:r>
          </w:p>
        </w:tc>
        <w:tc>
          <w:tcPr>
            <w:tcW w:w="2775" w:type="dxa"/>
          </w:tcPr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好：20 分≥得分＞14 分；</w:t>
            </w:r>
          </w:p>
          <w:p>
            <w:pPr>
              <w:numPr>
                <w:ilvl w:val="0"/>
                <w:numId w:val="0"/>
              </w:num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中：13 分≥得分＞7 分；</w:t>
            </w:r>
          </w:p>
          <w:p>
            <w:pPr>
              <w:numPr>
                <w:numId w:val="0"/>
              </w:num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差：6 分≥得分≥0 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638" w:hRule="atLeast"/>
        </w:trPr>
        <w:tc>
          <w:tcPr>
            <w:tcW w:w="2070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合计</w:t>
            </w:r>
          </w:p>
        </w:tc>
        <w:tc>
          <w:tcPr>
            <w:tcW w:w="3720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915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  <w:t>40分</w:t>
            </w:r>
          </w:p>
        </w:tc>
        <w:tc>
          <w:tcPr>
            <w:tcW w:w="2775" w:type="dxa"/>
          </w:tcPr>
          <w:p>
            <w:pPr>
              <w:numPr>
                <w:numId w:val="0"/>
              </w:numPr>
              <w:spacing w:line="360" w:lineRule="auto"/>
              <w:jc w:val="center"/>
              <w:rPr>
                <w:rFonts w:hint="eastAsia" w:ascii="楷体" w:hAnsi="楷体" w:eastAsia="楷体" w:cs="楷体"/>
                <w:sz w:val="22"/>
                <w:szCs w:val="22"/>
                <w:vertAlign w:val="baseline"/>
                <w:lang w:val="en-US" w:eastAsia="zh-CN"/>
              </w:rPr>
            </w:pPr>
          </w:p>
        </w:tc>
      </w:tr>
    </w:tbl>
    <w:p>
      <w:pPr>
        <w:numPr>
          <w:numId w:val="0"/>
        </w:numPr>
        <w:ind w:leftChars="0"/>
        <w:rPr>
          <w:rFonts w:hint="default"/>
          <w:lang w:val="en-US" w:eastAsia="zh-CN"/>
        </w:rPr>
      </w:pPr>
    </w:p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四、评分汇总</w:t>
      </w:r>
    </w:p>
    <w:tbl>
      <w:tblPr>
        <w:tblStyle w:val="5"/>
        <w:tblW w:w="88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47"/>
        <w:gridCol w:w="1133"/>
        <w:gridCol w:w="1700"/>
        <w:gridCol w:w="1417"/>
        <w:gridCol w:w="1558"/>
        <w:gridCol w:w="128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747" w:type="dxa"/>
            <w:vAlign w:val="top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40" w:lineRule="auto"/>
              <w:ind w:left="406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6"/>
                <w:sz w:val="22"/>
                <w:szCs w:val="22"/>
              </w:rPr>
              <w:t>评分项</w:t>
            </w:r>
            <w:r>
              <w:rPr>
                <w:rFonts w:hint="eastAsia" w:ascii="楷体" w:hAnsi="楷体" w:eastAsia="楷体" w:cs="楷体"/>
                <w:spacing w:val="5"/>
                <w:sz w:val="22"/>
                <w:szCs w:val="22"/>
              </w:rPr>
              <w:t>目</w:t>
            </w:r>
          </w:p>
        </w:tc>
        <w:tc>
          <w:tcPr>
            <w:tcW w:w="1133" w:type="dxa"/>
            <w:vAlign w:val="top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40" w:lineRule="auto"/>
              <w:ind w:left="349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4"/>
                <w:sz w:val="22"/>
                <w:szCs w:val="22"/>
              </w:rPr>
              <w:t>总</w:t>
            </w:r>
            <w:r>
              <w:rPr>
                <w:rFonts w:hint="eastAsia" w:ascii="楷体" w:hAnsi="楷体" w:eastAsia="楷体" w:cs="楷体"/>
                <w:spacing w:val="-3"/>
                <w:sz w:val="22"/>
                <w:szCs w:val="22"/>
              </w:rPr>
              <w:t>分</w:t>
            </w:r>
          </w:p>
        </w:tc>
        <w:tc>
          <w:tcPr>
            <w:tcW w:w="1700" w:type="dxa"/>
            <w:vAlign w:val="top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40" w:lineRule="auto"/>
              <w:ind w:left="272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7"/>
                <w:sz w:val="22"/>
                <w:szCs w:val="22"/>
              </w:rPr>
              <w:t>第</w:t>
            </w:r>
            <w:r>
              <w:rPr>
                <w:rFonts w:hint="eastAsia" w:ascii="楷体" w:hAnsi="楷体" w:eastAsia="楷体" w:cs="楷体"/>
                <w:spacing w:val="4"/>
                <w:sz w:val="22"/>
                <w:szCs w:val="22"/>
              </w:rPr>
              <w:t>一候选人</w:t>
            </w:r>
          </w:p>
        </w:tc>
        <w:tc>
          <w:tcPr>
            <w:tcW w:w="1417" w:type="dxa"/>
            <w:vAlign w:val="top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40" w:lineRule="auto"/>
              <w:ind w:left="132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7"/>
                <w:sz w:val="22"/>
                <w:szCs w:val="22"/>
              </w:rPr>
              <w:t>第</w:t>
            </w:r>
            <w:r>
              <w:rPr>
                <w:rFonts w:hint="eastAsia" w:ascii="楷体" w:hAnsi="楷体" w:eastAsia="楷体" w:cs="楷体"/>
                <w:spacing w:val="4"/>
                <w:sz w:val="22"/>
                <w:szCs w:val="22"/>
              </w:rPr>
              <w:t>二候选人</w:t>
            </w:r>
          </w:p>
        </w:tc>
        <w:tc>
          <w:tcPr>
            <w:tcW w:w="1558" w:type="dxa"/>
            <w:vAlign w:val="top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40" w:lineRule="auto"/>
              <w:ind w:left="203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7"/>
                <w:sz w:val="22"/>
                <w:szCs w:val="22"/>
              </w:rPr>
              <w:t>第</w:t>
            </w:r>
            <w:r>
              <w:rPr>
                <w:rFonts w:hint="eastAsia" w:ascii="楷体" w:hAnsi="楷体" w:eastAsia="楷体" w:cs="楷体"/>
                <w:spacing w:val="4"/>
                <w:sz w:val="22"/>
                <w:szCs w:val="22"/>
              </w:rPr>
              <w:t>三候选人</w:t>
            </w:r>
          </w:p>
        </w:tc>
        <w:tc>
          <w:tcPr>
            <w:tcW w:w="1280" w:type="dxa"/>
            <w:vAlign w:val="top"/>
          </w:tcPr>
          <w:p>
            <w:pPr>
              <w:spacing w:line="240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40" w:lineRule="auto"/>
              <w:ind w:left="364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1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47" w:type="dxa"/>
            <w:vAlign w:val="top"/>
          </w:tcPr>
          <w:p>
            <w:pPr>
              <w:spacing w:line="313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31" w:lineRule="auto"/>
              <w:ind w:left="526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5"/>
                <w:sz w:val="22"/>
                <w:szCs w:val="22"/>
              </w:rPr>
              <w:t>技</w:t>
            </w:r>
            <w:r>
              <w:rPr>
                <w:rFonts w:hint="eastAsia" w:ascii="楷体" w:hAnsi="楷体" w:eastAsia="楷体" w:cs="楷体"/>
                <w:spacing w:val="4"/>
                <w:sz w:val="22"/>
                <w:szCs w:val="22"/>
              </w:rPr>
              <w:t>术标</w:t>
            </w:r>
          </w:p>
        </w:tc>
        <w:tc>
          <w:tcPr>
            <w:tcW w:w="1133" w:type="dxa"/>
            <w:vAlign w:val="top"/>
          </w:tcPr>
          <w:p>
            <w:pPr>
              <w:spacing w:line="314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32" w:lineRule="auto"/>
              <w:ind w:left="299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  <w:t>4</w:t>
            </w:r>
            <w:r>
              <w:rPr>
                <w:rFonts w:hint="eastAsia" w:ascii="楷体" w:hAnsi="楷体" w:eastAsia="楷体" w:cs="楷体"/>
                <w:spacing w:val="-8"/>
                <w:sz w:val="22"/>
                <w:szCs w:val="22"/>
              </w:rPr>
              <w:t>0分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280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47" w:type="dxa"/>
            <w:vAlign w:val="top"/>
          </w:tcPr>
          <w:p>
            <w:pPr>
              <w:spacing w:line="315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31" w:lineRule="auto"/>
              <w:ind w:left="534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2"/>
                <w:sz w:val="22"/>
                <w:szCs w:val="22"/>
              </w:rPr>
              <w:t>商务</w:t>
            </w:r>
            <w:r>
              <w:rPr>
                <w:rFonts w:hint="eastAsia" w:ascii="楷体" w:hAnsi="楷体" w:eastAsia="楷体" w:cs="楷体"/>
                <w:spacing w:val="1"/>
                <w:sz w:val="22"/>
                <w:szCs w:val="22"/>
              </w:rPr>
              <w:t>标</w:t>
            </w:r>
          </w:p>
        </w:tc>
        <w:tc>
          <w:tcPr>
            <w:tcW w:w="1133" w:type="dxa"/>
            <w:vAlign w:val="top"/>
          </w:tcPr>
          <w:p>
            <w:pPr>
              <w:spacing w:line="316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4" w:line="232" w:lineRule="auto"/>
              <w:ind w:left="302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10"/>
                <w:sz w:val="22"/>
                <w:szCs w:val="22"/>
              </w:rPr>
              <w:t>6</w:t>
            </w:r>
            <w:r>
              <w:rPr>
                <w:rFonts w:hint="eastAsia" w:ascii="楷体" w:hAnsi="楷体" w:eastAsia="楷体" w:cs="楷体"/>
                <w:spacing w:val="-9"/>
                <w:sz w:val="22"/>
                <w:szCs w:val="22"/>
              </w:rPr>
              <w:t>0分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280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</w:trPr>
        <w:tc>
          <w:tcPr>
            <w:tcW w:w="1747" w:type="dxa"/>
            <w:vAlign w:val="top"/>
          </w:tcPr>
          <w:p>
            <w:pPr>
              <w:spacing w:line="314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31" w:lineRule="auto"/>
              <w:ind w:left="652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2"/>
                <w:sz w:val="22"/>
                <w:szCs w:val="22"/>
              </w:rPr>
              <w:t>合</w:t>
            </w:r>
            <w:r>
              <w:rPr>
                <w:rFonts w:hint="eastAsia" w:ascii="楷体" w:hAnsi="楷体" w:eastAsia="楷体" w:cs="楷体"/>
                <w:spacing w:val="-1"/>
                <w:sz w:val="22"/>
                <w:szCs w:val="22"/>
              </w:rPr>
              <w:t>计</w:t>
            </w:r>
          </w:p>
        </w:tc>
        <w:tc>
          <w:tcPr>
            <w:tcW w:w="1133" w:type="dxa"/>
            <w:vAlign w:val="top"/>
          </w:tcPr>
          <w:p>
            <w:pPr>
              <w:spacing w:line="315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32" w:lineRule="auto"/>
              <w:ind w:left="370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-12"/>
                <w:sz w:val="22"/>
                <w:szCs w:val="22"/>
              </w:rPr>
              <w:t>1</w:t>
            </w:r>
            <w:r>
              <w:rPr>
                <w:rFonts w:hint="eastAsia" w:ascii="楷体" w:hAnsi="楷体" w:eastAsia="楷体" w:cs="楷体"/>
                <w:spacing w:val="-9"/>
                <w:sz w:val="22"/>
                <w:szCs w:val="22"/>
              </w:rPr>
              <w:t>00分</w:t>
            </w:r>
          </w:p>
        </w:tc>
        <w:tc>
          <w:tcPr>
            <w:tcW w:w="1700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417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558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  <w:tc>
          <w:tcPr>
            <w:tcW w:w="1280" w:type="dxa"/>
            <w:vAlign w:val="top"/>
          </w:tcPr>
          <w:p>
            <w:pPr>
              <w:rPr>
                <w:rFonts w:hint="eastAsia" w:ascii="楷体" w:hAnsi="楷体" w:eastAsia="楷体" w:cs="楷体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</w:trPr>
        <w:tc>
          <w:tcPr>
            <w:tcW w:w="8835" w:type="dxa"/>
            <w:gridSpan w:val="6"/>
            <w:vAlign w:val="top"/>
          </w:tcPr>
          <w:p>
            <w:pPr>
              <w:spacing w:line="316" w:lineRule="auto"/>
              <w:rPr>
                <w:rFonts w:hint="eastAsia" w:ascii="楷体" w:hAnsi="楷体" w:eastAsia="楷体" w:cs="楷体"/>
                <w:sz w:val="22"/>
                <w:szCs w:val="22"/>
              </w:rPr>
            </w:pPr>
          </w:p>
          <w:p>
            <w:pPr>
              <w:spacing w:before="75" w:line="231" w:lineRule="auto"/>
              <w:ind w:left="2509"/>
              <w:rPr>
                <w:rFonts w:hint="eastAsia" w:ascii="楷体" w:hAnsi="楷体" w:eastAsia="楷体" w:cs="楷体"/>
                <w:sz w:val="22"/>
                <w:szCs w:val="22"/>
              </w:rPr>
            </w:pPr>
            <w:r>
              <w:rPr>
                <w:rFonts w:hint="eastAsia" w:ascii="楷体" w:hAnsi="楷体" w:eastAsia="楷体" w:cs="楷体"/>
                <w:spacing w:val="16"/>
                <w:sz w:val="22"/>
                <w:szCs w:val="22"/>
              </w:rPr>
              <w:t>投</w:t>
            </w:r>
            <w:r>
              <w:rPr>
                <w:rFonts w:hint="eastAsia" w:ascii="楷体" w:hAnsi="楷体" w:eastAsia="楷体" w:cs="楷体"/>
                <w:spacing w:val="12"/>
                <w:sz w:val="22"/>
                <w:szCs w:val="22"/>
              </w:rPr>
              <w:t>标</w:t>
            </w:r>
            <w:r>
              <w:rPr>
                <w:rFonts w:hint="eastAsia" w:ascii="楷体" w:hAnsi="楷体" w:eastAsia="楷体" w:cs="楷体"/>
                <w:spacing w:val="8"/>
                <w:sz w:val="22"/>
                <w:szCs w:val="22"/>
              </w:rPr>
              <w:t>人最终得分=技术标分值+商务标分值</w:t>
            </w:r>
          </w:p>
        </w:tc>
      </w:tr>
    </w:tbl>
    <w:p>
      <w:pPr>
        <w:numPr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zMWI2NTYzNWEzZmFlNjIyNWFmNTJlZWMzY2ZiMmYifQ=="/>
  </w:docVars>
  <w:rsids>
    <w:rsidRoot w:val="16814D02"/>
    <w:rsid w:val="16814D02"/>
    <w:rsid w:val="2B7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448</Words>
  <Characters>471</Characters>
  <Lines>0</Lines>
  <Paragraphs>0</Paragraphs>
  <TotalTime>2</TotalTime>
  <ScaleCrop>false</ScaleCrop>
  <LinksUpToDate>false</LinksUpToDate>
  <CharactersWithSpaces>487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2022-12-23T06:58:00Z</dcterms:created>
  <dc:creator>田埂</dc:creator>
  <cp:lastModifiedBy>田埂</cp:lastModifiedBy>
  <dcterms:modified xsi:type="dcterms:W3CDTF">2022-12-23T07:21:02Z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602473E643B84E5DB5EF5D94E2CEB771</vt:lpwstr>
  </property>
</Properties>
</file>